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6979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просвещения РФ от 13 марта 2019 г. N 114 "Об утвержден</w:t>
        </w:r>
        <w:r>
          <w:rPr>
            <w:rStyle w:val="a4"/>
            <w:b w:val="0"/>
            <w:bCs w:val="0"/>
          </w:rPr>
          <w:t>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</w:t>
        </w:r>
        <w:r>
          <w:rPr>
            <w:rStyle w:val="a4"/>
            <w:b w:val="0"/>
            <w:bCs w:val="0"/>
          </w:rPr>
          <w:t>офессионального образования, основным программам профессионального обучения, дополнительным общеобразовательным программам"</w:t>
        </w:r>
      </w:hyperlink>
    </w:p>
    <w:p w:rsidR="00000000" w:rsidRDefault="00C26979">
      <w:pPr>
        <w:pStyle w:val="1"/>
      </w:pPr>
      <w:r>
        <w:t>Приказ Министерства просвещения РФ от 13 марта 2019 г. N 114</w:t>
      </w:r>
      <w:r>
        <w:br/>
        <w:t>"Об утверждении показателей, характеризующих общие критерии оценки к</w:t>
      </w:r>
      <w:r>
        <w:t>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</w:t>
      </w:r>
      <w:r>
        <w:t>сионального обучения, дополнительным общеобразовательным программам"</w:t>
      </w:r>
    </w:p>
    <w:p w:rsidR="00000000" w:rsidRDefault="00C26979"/>
    <w:p w:rsidR="00000000" w:rsidRDefault="00C26979">
      <w:r>
        <w:t xml:space="preserve">В соответствии с </w:t>
      </w:r>
      <w:hyperlink r:id="rId8" w:history="1">
        <w:r>
          <w:rPr>
            <w:rStyle w:val="a4"/>
          </w:rPr>
          <w:t>подпунктом 4.2.49</w:t>
        </w:r>
      </w:hyperlink>
      <w:r>
        <w:t xml:space="preserve"> Положения о Министерстве просвещения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"Об утверждении Положения о Министерстве просвещения Российской Федерации и признании утратившими силу некоторых актов Правител</w:t>
      </w:r>
      <w:r>
        <w:t>ьства Российской Федерации" (Собрание законодательства Российской Федерации, 2018, N 32, ст. 5343), приказываю:</w:t>
      </w:r>
    </w:p>
    <w:p w:rsidR="00000000" w:rsidRDefault="00C26979">
      <w:bookmarkStart w:id="0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</w:t>
      </w:r>
      <w:r>
        <w:t>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</w:t>
      </w:r>
      <w:r>
        <w:t>еобразовательным программам.</w:t>
      </w:r>
    </w:p>
    <w:bookmarkEnd w:id="0"/>
    <w:p w:rsidR="00000000" w:rsidRDefault="00C26979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26979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26979">
            <w:pPr>
              <w:pStyle w:val="a5"/>
              <w:jc w:val="right"/>
            </w:pPr>
            <w:r>
              <w:t>О.Ю. Васильева</w:t>
            </w:r>
          </w:p>
        </w:tc>
      </w:tr>
    </w:tbl>
    <w:p w:rsidR="00000000" w:rsidRDefault="00C26979"/>
    <w:p w:rsidR="00000000" w:rsidRDefault="00C26979">
      <w:pPr>
        <w:pStyle w:val="a7"/>
      </w:pPr>
      <w:r>
        <w:t>Зарегистрировано в Минюсте РФ 25 апреля 2019 г.</w:t>
      </w:r>
      <w:r>
        <w:br/>
        <w:t>Регистрационный N 54499</w:t>
      </w:r>
    </w:p>
    <w:p w:rsidR="00000000" w:rsidRDefault="00C26979"/>
    <w:p w:rsidR="00000000" w:rsidRDefault="00C26979">
      <w:pPr>
        <w:ind w:firstLine="0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C26979"/>
    <w:p w:rsidR="00000000" w:rsidRDefault="00C26979">
      <w:pPr>
        <w:ind w:firstLine="0"/>
        <w:jc w:val="right"/>
      </w:pPr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 Российской Федерации</w:t>
      </w:r>
      <w:r>
        <w:rPr>
          <w:rStyle w:val="a3"/>
        </w:rPr>
        <w:br/>
      </w:r>
      <w:r>
        <w:rPr>
          <w:rStyle w:val="a3"/>
        </w:rPr>
        <w:t>от 13 марта 2019 г. N 114</w:t>
      </w:r>
    </w:p>
    <w:p w:rsidR="00000000" w:rsidRDefault="00C26979"/>
    <w:p w:rsidR="00000000" w:rsidRDefault="00C26979">
      <w:pPr>
        <w:pStyle w:val="1"/>
      </w:pPr>
      <w:r>
        <w:t>Показатели,</w:t>
      </w:r>
      <w:r>
        <w:br/>
        <w:t>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</w:t>
      </w:r>
      <w:r>
        <w:t xml:space="preserve">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000000" w:rsidRDefault="00C26979"/>
    <w:p w:rsidR="00000000" w:rsidRDefault="00C26979">
      <w:pPr>
        <w:pStyle w:val="1"/>
      </w:pPr>
      <w:bookmarkStart w:id="2" w:name="sub_1100"/>
      <w:r>
        <w:t>I. Показатели, характеризующие открытость и доступность информации об организации, осуществляющей обр</w:t>
      </w:r>
      <w:r>
        <w:t>азовательную деятельность</w:t>
      </w:r>
      <w:r>
        <w:br/>
        <w:t>(далее - организации)</w:t>
      </w:r>
    </w:p>
    <w:bookmarkEnd w:id="2"/>
    <w:p w:rsidR="00000000" w:rsidRDefault="00C269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r>
              <w:t>N</w:t>
            </w:r>
          </w:p>
          <w:p w:rsidR="00000000" w:rsidRDefault="00C26979">
            <w:pPr>
              <w:pStyle w:val="a5"/>
              <w:jc w:val="center"/>
            </w:pPr>
            <w:r>
              <w:t>п/п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3" w:name="sub_1111"/>
            <w:r>
              <w:t>1.1.</w:t>
            </w:r>
            <w:bookmarkEnd w:id="3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</w:t>
            </w:r>
            <w:r>
              <w:t>ия, установленным нормативными правовыми актами: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на информационных стендах в помещении организации;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- на официальном сайте организации в информационно-телекоммуникационной сети "Интернет" (далее - сайт)</w:t>
            </w:r>
            <w:hyperlink w:anchor="sub_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4" w:name="sub_1112"/>
            <w:r>
              <w:t>1.2.</w:t>
            </w:r>
            <w:bookmarkEnd w:id="4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телефона;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электронной почты;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- технической возможности выражения получателями образовательных услуг мнения о качестве оказания услуг (н</w:t>
            </w:r>
            <w:r>
              <w:t>аличие анкеты для опроса граждан или гиперссылки на нее)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5" w:name="sub_1113"/>
            <w:r>
              <w:t>1.3.</w:t>
            </w:r>
            <w:bookmarkEnd w:id="5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000000" w:rsidRDefault="00C26979"/>
    <w:p w:rsidR="00000000" w:rsidRDefault="00C26979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</w:t>
      </w:r>
      <w:r>
        <w:rPr>
          <w:sz w:val="22"/>
          <w:szCs w:val="22"/>
        </w:rPr>
        <w:t>───────────────────────</w:t>
      </w:r>
    </w:p>
    <w:p w:rsidR="00000000" w:rsidRDefault="00C26979">
      <w:pPr>
        <w:pStyle w:val="a8"/>
      </w:pPr>
      <w:bookmarkStart w:id="6" w:name="sub_111"/>
      <w:r>
        <w:rPr>
          <w:vertAlign w:val="superscript"/>
        </w:rPr>
        <w:t>1</w:t>
      </w:r>
      <w:r>
        <w:t xml:space="preserve"> </w:t>
      </w:r>
      <w:hyperlink r:id="rId10" w:history="1">
        <w:r>
          <w:rPr>
            <w:rStyle w:val="a4"/>
          </w:rPr>
          <w:t>Статья 29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</w:t>
      </w:r>
      <w:r>
        <w:t xml:space="preserve">53, ст. 7598; 2015, N 27, ст. 3989),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10 июля 2013 г. N 582 "Об утверждении правил размещения на официальном сайте образовательной организаци</w:t>
      </w:r>
      <w:r>
        <w:t>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 29, ст. 3964; 2015, N 43, ст. 5979; 2017, N 21, ст. 3025; N 33, ст. 5202).</w:t>
      </w:r>
    </w:p>
    <w:bookmarkEnd w:id="6"/>
    <w:p w:rsidR="00000000" w:rsidRDefault="00C26979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</w:t>
      </w:r>
      <w:r>
        <w:rPr>
          <w:sz w:val="22"/>
          <w:szCs w:val="22"/>
        </w:rPr>
        <w:t>────────────────────────</w:t>
      </w:r>
    </w:p>
    <w:p w:rsidR="00000000" w:rsidRDefault="00C26979"/>
    <w:p w:rsidR="00000000" w:rsidRDefault="00C26979">
      <w:pPr>
        <w:pStyle w:val="1"/>
      </w:pPr>
      <w:bookmarkStart w:id="7" w:name="sub_1200"/>
      <w:r>
        <w:t>II. Показатели, характеризующие комфортность условий, в которых осуществляется образовательная деятельность</w:t>
      </w:r>
    </w:p>
    <w:bookmarkEnd w:id="7"/>
    <w:p w:rsidR="00000000" w:rsidRDefault="00C269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r>
              <w:t>N</w:t>
            </w:r>
          </w:p>
          <w:p w:rsidR="00000000" w:rsidRDefault="00C26979">
            <w:pPr>
              <w:pStyle w:val="a5"/>
              <w:jc w:val="center"/>
            </w:pPr>
            <w:r>
              <w:t>п/п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8" w:name="sub_1201"/>
            <w:r>
              <w:t>2.1.</w:t>
            </w:r>
            <w:bookmarkEnd w:id="8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Обеспечение в организации комфортных условий, в которых осуществля</w:t>
            </w:r>
            <w:r>
              <w:t>ется образовательная деятельность: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наличие зоны отдыха (ожидания);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наличие и понятность навигации внутри организации;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наличие и доступность питьевой воды;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наличие и доступность санитарно-гигиенических помещений;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- санитарное состояние помещений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9" w:name="sub_1202"/>
            <w:r>
              <w:t>2.2.</w:t>
            </w:r>
            <w:bookmarkEnd w:id="9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000000" w:rsidRDefault="00C26979"/>
    <w:p w:rsidR="00000000" w:rsidRDefault="00C26979">
      <w:pPr>
        <w:pStyle w:val="1"/>
      </w:pPr>
      <w:bookmarkStart w:id="10" w:name="sub_1300"/>
      <w:r>
        <w:t>III. Показатели, характеризующие доступность образовательной деятельности для инвалидов</w:t>
      </w:r>
    </w:p>
    <w:bookmarkEnd w:id="10"/>
    <w:p w:rsidR="00000000" w:rsidRDefault="00C269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r>
              <w:t>N</w:t>
            </w:r>
          </w:p>
          <w:p w:rsidR="00000000" w:rsidRDefault="00C26979">
            <w:pPr>
              <w:pStyle w:val="a5"/>
              <w:jc w:val="center"/>
            </w:pPr>
            <w:r>
              <w:t>п/п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11" w:name="sub_1301"/>
            <w:r>
              <w:t>3.1.</w:t>
            </w:r>
            <w:bookmarkEnd w:id="11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оборудование входных групп пандусами (подъемными платформами);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наличие выделенных стоянок для автотранспортных средств инвалидов;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наличие адаптированных лифтов, поручней, расширенных дверных проемов;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наличие сменных кресел-колясок;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12" w:name="sub_1302"/>
            <w:r>
              <w:t>3.2.</w:t>
            </w:r>
            <w:bookmarkEnd w:id="12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дублирование для инвалидов по слуху и зрению звуковой и зрительной информации;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альтернативной версии сайта организации для инвалидов по зрению;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C26979">
            <w:pPr>
              <w:pStyle w:val="a5"/>
            </w:pPr>
            <w:r>
              <w:t>- помощь, оказываемая работниками организации, прошедшими необходимое об</w:t>
            </w:r>
            <w:r>
              <w:t>учение (инструктирование), по сопровождению инвалидов в помещении организации;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- возможность предоставления образовательных услуг в дистанционном режиме или на дому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13" w:name="sub_1303"/>
            <w:r>
              <w:t>3.3.</w:t>
            </w:r>
            <w:bookmarkEnd w:id="13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000000" w:rsidRDefault="00C26979"/>
    <w:p w:rsidR="00000000" w:rsidRDefault="00C26979">
      <w:pPr>
        <w:pStyle w:val="1"/>
      </w:pPr>
      <w:bookmarkStart w:id="14" w:name="sub_1400"/>
      <w:r>
        <w:t>IV. Показатели, характеризующие доброжелательность, вежливость работников организации</w:t>
      </w:r>
    </w:p>
    <w:bookmarkEnd w:id="14"/>
    <w:p w:rsidR="00000000" w:rsidRDefault="00C269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r>
              <w:t>N</w:t>
            </w:r>
          </w:p>
          <w:p w:rsidR="00000000" w:rsidRDefault="00C26979">
            <w:pPr>
              <w:pStyle w:val="a5"/>
              <w:jc w:val="center"/>
            </w:pPr>
            <w:r>
              <w:t>п/п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15" w:name="sub_1401"/>
            <w:r>
              <w:t>4.1.</w:t>
            </w:r>
            <w:bookmarkEnd w:id="15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</w:t>
            </w:r>
            <w:r>
              <w:t>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16" w:name="sub_1402"/>
            <w:r>
              <w:t>4.2.</w:t>
            </w:r>
            <w:bookmarkEnd w:id="16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</w:t>
            </w:r>
            <w:r>
              <w:t>питатели, тренеры, инструкторы) (в % от общего числа опрошенных получателей образовательных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17" w:name="sub_1403"/>
            <w:r>
              <w:t>4.3.</w:t>
            </w:r>
            <w:bookmarkEnd w:id="17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</w:t>
            </w:r>
            <w:r>
              <w:t>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000000" w:rsidRDefault="00C26979"/>
    <w:p w:rsidR="00000000" w:rsidRDefault="00C26979">
      <w:pPr>
        <w:pStyle w:val="1"/>
      </w:pPr>
      <w:bookmarkStart w:id="18" w:name="sub_1500"/>
      <w:r>
        <w:t>V. Показатели, характеризующие удовлетворенность условиями осуществления образовательной деятельности организаций</w:t>
      </w:r>
    </w:p>
    <w:bookmarkEnd w:id="18"/>
    <w:p w:rsidR="00000000" w:rsidRDefault="00C269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9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r>
              <w:lastRenderedPageBreak/>
              <w:t>N</w:t>
            </w:r>
          </w:p>
          <w:p w:rsidR="00000000" w:rsidRDefault="00C26979">
            <w:pPr>
              <w:pStyle w:val="a5"/>
              <w:jc w:val="center"/>
            </w:pPr>
            <w:r>
              <w:t>п/п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19" w:name="sub_1501"/>
            <w:r>
              <w:t>5.1.</w:t>
            </w:r>
            <w:bookmarkEnd w:id="19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</w:t>
            </w:r>
            <w:r>
              <w:t>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20" w:name="sub_1502"/>
            <w:r>
              <w:t>5.2.</w:t>
            </w:r>
            <w:bookmarkEnd w:id="20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6979">
            <w:pPr>
              <w:pStyle w:val="a5"/>
              <w:jc w:val="center"/>
            </w:pPr>
            <w:bookmarkStart w:id="21" w:name="sub_1503"/>
            <w:r>
              <w:t>5.3.</w:t>
            </w:r>
            <w:bookmarkEnd w:id="21"/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26979">
            <w:pPr>
              <w:pStyle w:val="a5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000000" w:rsidRDefault="00C26979"/>
    <w:sectPr w:rsidR="00000000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26979">
      <w:r>
        <w:separator/>
      </w:r>
    </w:p>
  </w:endnote>
  <w:endnote w:type="continuationSeparator" w:id="1">
    <w:p w:rsidR="00000000" w:rsidRDefault="00C2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2697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697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2697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26979">
      <w:r>
        <w:separator/>
      </w:r>
    </w:p>
  </w:footnote>
  <w:footnote w:type="continuationSeparator" w:id="1">
    <w:p w:rsidR="00000000" w:rsidRDefault="00C2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697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13 марта 2019 г. N 114 "Об утверждении показателей, характеризующих…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979"/>
    <w:rsid w:val="00C2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269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2003700/142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2231012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413268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70291362/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7375</Characters>
  <Application>Microsoft Office Word</Application>
  <DocSecurity>0</DocSecurity>
  <Lines>61</Lines>
  <Paragraphs>17</Paragraphs>
  <ScaleCrop>false</ScaleCrop>
  <Company>НПП "Гарант-Сервис"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2019-10-11T03:49:00Z</dcterms:created>
  <dcterms:modified xsi:type="dcterms:W3CDTF">2019-10-11T03:49:00Z</dcterms:modified>
</cp:coreProperties>
</file>